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68"/>
        <w:gridCol w:w="4394"/>
        <w:gridCol w:w="1417"/>
        <w:gridCol w:w="1133"/>
      </w:tblGrid>
      <w:tr w:rsidR="0062652D" w:rsidRPr="00211120" w:rsidTr="006A48E9">
        <w:trPr>
          <w:cantSplit/>
          <w:trHeight w:val="312"/>
        </w:trPr>
        <w:tc>
          <w:tcPr>
            <w:tcW w:w="1231" w:type="pct"/>
            <w:vMerge w:val="restart"/>
            <w:vAlign w:val="center"/>
          </w:tcPr>
          <w:p w:rsidR="0062652D" w:rsidRPr="00CC3694" w:rsidRDefault="0062652D" w:rsidP="00984C4D">
            <w:pPr>
              <w:pStyle w:val="stBilgi"/>
              <w:jc w:val="center"/>
              <w:rPr>
                <w:rFonts w:ascii="Century Gothic" w:hAnsi="Century Gothic"/>
              </w:rPr>
            </w:pPr>
            <w:r w:rsidRPr="00650C68">
              <w:rPr>
                <w:rFonts w:ascii="Century Gothic" w:hAnsi="Century Gothic"/>
                <w:noProof/>
              </w:rPr>
              <w:drawing>
                <wp:inline distT="0" distB="0" distL="0" distR="0" wp14:anchorId="113A6C21" wp14:editId="0952F1A7">
                  <wp:extent cx="936000" cy="933450"/>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7" cstate="print"/>
                          <a:stretch>
                            <a:fillRect/>
                          </a:stretch>
                        </pic:blipFill>
                        <pic:spPr>
                          <a:xfrm>
                            <a:off x="0" y="0"/>
                            <a:ext cx="936000" cy="933450"/>
                          </a:xfrm>
                          <a:prstGeom prst="rect">
                            <a:avLst/>
                          </a:prstGeom>
                        </pic:spPr>
                      </pic:pic>
                    </a:graphicData>
                  </a:graphic>
                </wp:inline>
              </w:drawing>
            </w:r>
          </w:p>
        </w:tc>
        <w:tc>
          <w:tcPr>
            <w:tcW w:w="2385" w:type="pct"/>
            <w:vMerge w:val="restart"/>
            <w:vAlign w:val="center"/>
          </w:tcPr>
          <w:p w:rsidR="00F332DE" w:rsidRDefault="00F332DE" w:rsidP="002073F9">
            <w:pPr>
              <w:spacing w:after="200" w:line="276" w:lineRule="auto"/>
              <w:contextualSpacing/>
              <w:jc w:val="center"/>
              <w:rPr>
                <w:rFonts w:ascii="Times New Roman" w:eastAsiaTheme="minorHAnsi" w:hAnsi="Times New Roman"/>
                <w:color w:val="FF0000"/>
                <w:szCs w:val="24"/>
                <w:lang w:eastAsia="en-US"/>
              </w:rPr>
            </w:pPr>
          </w:p>
          <w:p w:rsidR="002073F9" w:rsidRPr="00F332DE" w:rsidRDefault="003D322A" w:rsidP="00E56C2D">
            <w:pPr>
              <w:spacing w:after="200" w:line="276" w:lineRule="auto"/>
              <w:contextualSpacing/>
              <w:jc w:val="center"/>
              <w:rPr>
                <w:rFonts w:ascii="Times New Roman" w:eastAsiaTheme="minorHAnsi" w:hAnsi="Times New Roman"/>
                <w:color w:val="FF0000"/>
                <w:szCs w:val="24"/>
                <w:lang w:eastAsia="en-US"/>
              </w:rPr>
            </w:pPr>
            <w:r w:rsidRPr="00F332DE">
              <w:rPr>
                <w:rFonts w:ascii="Times New Roman" w:eastAsiaTheme="minorHAnsi" w:hAnsi="Times New Roman"/>
                <w:color w:val="FF0000"/>
                <w:szCs w:val="24"/>
                <w:lang w:eastAsia="en-US"/>
              </w:rPr>
              <w:t>KANTİN TALİMATI</w:t>
            </w:r>
          </w:p>
          <w:p w:rsidR="0062652D" w:rsidRPr="00C81A4A" w:rsidRDefault="0062652D" w:rsidP="00984C4D">
            <w:pPr>
              <w:ind w:right="34"/>
              <w:jc w:val="center"/>
              <w:rPr>
                <w:rFonts w:ascii="Times New Roman" w:hAnsi="Times New Roman"/>
                <w:b/>
                <w:color w:val="FF0000"/>
                <w:szCs w:val="24"/>
              </w:rPr>
            </w:pPr>
          </w:p>
        </w:tc>
        <w:tc>
          <w:tcPr>
            <w:tcW w:w="769" w:type="pct"/>
            <w:tcBorders>
              <w:top w:val="double"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615" w:type="pct"/>
            <w:tcBorders>
              <w:top w:val="double" w:sz="4" w:space="0" w:color="auto"/>
              <w:left w:val="single" w:sz="8" w:space="0" w:color="auto"/>
              <w:bottom w:val="dotted" w:sz="4" w:space="0" w:color="auto"/>
            </w:tcBorders>
            <w:vAlign w:val="center"/>
          </w:tcPr>
          <w:p w:rsidR="0062652D" w:rsidRPr="00BF70CE" w:rsidRDefault="0062652D" w:rsidP="00984C4D">
            <w:pPr>
              <w:pStyle w:val="stBilgi"/>
              <w:rPr>
                <w:rFonts w:ascii="Times New Roman" w:hAnsi="Times New Roman"/>
                <w:b/>
                <w:bCs/>
                <w:sz w:val="16"/>
                <w:szCs w:val="16"/>
              </w:rPr>
            </w:pPr>
          </w:p>
        </w:tc>
      </w:tr>
      <w:tr w:rsidR="0062652D" w:rsidRPr="00211120" w:rsidTr="006A48E9">
        <w:trPr>
          <w:cantSplit/>
          <w:trHeight w:val="312"/>
        </w:trPr>
        <w:tc>
          <w:tcPr>
            <w:tcW w:w="1231" w:type="pct"/>
            <w:vMerge/>
            <w:vAlign w:val="center"/>
          </w:tcPr>
          <w:p w:rsidR="0062652D" w:rsidRDefault="0062652D" w:rsidP="00984C4D">
            <w:pPr>
              <w:pStyle w:val="stBilgi"/>
              <w:jc w:val="center"/>
              <w:rPr>
                <w:rFonts w:ascii="Comic Sans MS" w:hAnsi="Comic Sans MS" w:cs="Tahoma"/>
                <w:b/>
              </w:rPr>
            </w:pPr>
          </w:p>
        </w:tc>
        <w:tc>
          <w:tcPr>
            <w:tcW w:w="2385" w:type="pct"/>
            <w:vMerge/>
            <w:vAlign w:val="center"/>
          </w:tcPr>
          <w:p w:rsidR="0062652D" w:rsidRPr="00B24C33" w:rsidRDefault="0062652D" w:rsidP="00984C4D">
            <w:pPr>
              <w:pStyle w:val="stBilgi"/>
              <w:jc w:val="center"/>
              <w:rPr>
                <w:rFonts w:ascii="Times New Roman" w:hAnsi="Times New Roman"/>
                <w:b/>
                <w:bCs/>
                <w:sz w:val="44"/>
                <w:szCs w:val="44"/>
              </w:rPr>
            </w:pPr>
          </w:p>
        </w:tc>
        <w:tc>
          <w:tcPr>
            <w:tcW w:w="769"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Yayım</w:t>
            </w:r>
            <w:proofErr w:type="spellEnd"/>
            <w:r>
              <w:rPr>
                <w:w w:val="105"/>
                <w:sz w:val="16"/>
                <w:szCs w:val="16"/>
              </w:rPr>
              <w:t xml:space="preserve"> </w:t>
            </w:r>
            <w:proofErr w:type="spellStart"/>
            <w:r>
              <w:rPr>
                <w:w w:val="105"/>
                <w:sz w:val="16"/>
                <w:szCs w:val="16"/>
              </w:rPr>
              <w:t>Tarihi</w:t>
            </w:r>
            <w:proofErr w:type="spellEnd"/>
          </w:p>
        </w:tc>
        <w:tc>
          <w:tcPr>
            <w:tcW w:w="615"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6A48E9">
        <w:trPr>
          <w:cantSplit/>
          <w:trHeight w:val="312"/>
        </w:trPr>
        <w:tc>
          <w:tcPr>
            <w:tcW w:w="1231" w:type="pct"/>
            <w:vMerge/>
            <w:vAlign w:val="center"/>
          </w:tcPr>
          <w:p w:rsidR="0062652D" w:rsidRDefault="0062652D" w:rsidP="00984C4D">
            <w:pPr>
              <w:pStyle w:val="stBilgi"/>
              <w:jc w:val="center"/>
              <w:rPr>
                <w:rFonts w:ascii="Comic Sans MS" w:hAnsi="Comic Sans MS" w:cs="Tahoma"/>
                <w:b/>
              </w:rPr>
            </w:pPr>
          </w:p>
        </w:tc>
        <w:tc>
          <w:tcPr>
            <w:tcW w:w="2385" w:type="pct"/>
            <w:vMerge/>
            <w:vAlign w:val="center"/>
          </w:tcPr>
          <w:p w:rsidR="0062652D" w:rsidRPr="00B24C33" w:rsidRDefault="0062652D" w:rsidP="00984C4D">
            <w:pPr>
              <w:pStyle w:val="stBilgi"/>
              <w:jc w:val="center"/>
              <w:rPr>
                <w:rFonts w:ascii="Times New Roman" w:hAnsi="Times New Roman"/>
                <w:b/>
                <w:bCs/>
                <w:sz w:val="44"/>
                <w:szCs w:val="44"/>
              </w:rPr>
            </w:pPr>
          </w:p>
        </w:tc>
        <w:tc>
          <w:tcPr>
            <w:tcW w:w="769"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615"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6A48E9">
        <w:trPr>
          <w:cantSplit/>
          <w:trHeight w:val="312"/>
        </w:trPr>
        <w:tc>
          <w:tcPr>
            <w:tcW w:w="1231" w:type="pct"/>
            <w:vMerge/>
            <w:vAlign w:val="center"/>
          </w:tcPr>
          <w:p w:rsidR="0062652D" w:rsidRDefault="0062652D" w:rsidP="00984C4D">
            <w:pPr>
              <w:pStyle w:val="stBilgi"/>
              <w:jc w:val="center"/>
              <w:rPr>
                <w:rFonts w:ascii="Comic Sans MS" w:hAnsi="Comic Sans MS" w:cs="Tahoma"/>
                <w:b/>
              </w:rPr>
            </w:pPr>
          </w:p>
        </w:tc>
        <w:tc>
          <w:tcPr>
            <w:tcW w:w="2385" w:type="pct"/>
            <w:vMerge/>
            <w:vAlign w:val="center"/>
          </w:tcPr>
          <w:p w:rsidR="0062652D" w:rsidRPr="00B24C33" w:rsidRDefault="0062652D" w:rsidP="00984C4D">
            <w:pPr>
              <w:pStyle w:val="stBilgi"/>
              <w:jc w:val="center"/>
              <w:rPr>
                <w:rFonts w:ascii="Times New Roman" w:hAnsi="Times New Roman"/>
                <w:b/>
                <w:bCs/>
                <w:sz w:val="44"/>
                <w:szCs w:val="44"/>
              </w:rPr>
            </w:pPr>
          </w:p>
        </w:tc>
        <w:tc>
          <w:tcPr>
            <w:tcW w:w="769"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1"/>
              <w:rPr>
                <w:sz w:val="16"/>
                <w:szCs w:val="16"/>
              </w:rPr>
            </w:pPr>
            <w:proofErr w:type="spellStart"/>
            <w:r>
              <w:rPr>
                <w:w w:val="103"/>
                <w:sz w:val="16"/>
                <w:szCs w:val="16"/>
              </w:rPr>
              <w:t>Revizyon</w:t>
            </w:r>
            <w:proofErr w:type="spellEnd"/>
            <w:r>
              <w:rPr>
                <w:w w:val="103"/>
                <w:sz w:val="16"/>
                <w:szCs w:val="16"/>
              </w:rPr>
              <w:t xml:space="preserve"> </w:t>
            </w:r>
            <w:proofErr w:type="spellStart"/>
            <w:r>
              <w:rPr>
                <w:spacing w:val="-1"/>
                <w:w w:val="103"/>
                <w:sz w:val="16"/>
                <w:szCs w:val="16"/>
              </w:rPr>
              <w:t>Tar</w:t>
            </w:r>
            <w:r>
              <w:rPr>
                <w:w w:val="103"/>
                <w:sz w:val="16"/>
                <w:szCs w:val="16"/>
              </w:rPr>
              <w:t>ihi</w:t>
            </w:r>
            <w:proofErr w:type="spellEnd"/>
          </w:p>
        </w:tc>
        <w:tc>
          <w:tcPr>
            <w:tcW w:w="615"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 / .... / 2</w:t>
            </w:r>
            <w:r w:rsidR="006A48E9">
              <w:rPr>
                <w:rFonts w:ascii="Times New Roman" w:hAnsi="Times New Roman"/>
                <w:b/>
                <w:bCs/>
                <w:sz w:val="16"/>
                <w:szCs w:val="16"/>
              </w:rPr>
              <w:t>020</w:t>
            </w:r>
          </w:p>
        </w:tc>
      </w:tr>
      <w:tr w:rsidR="0062652D" w:rsidRPr="00211120" w:rsidTr="006A48E9">
        <w:trPr>
          <w:cantSplit/>
          <w:trHeight w:val="312"/>
        </w:trPr>
        <w:tc>
          <w:tcPr>
            <w:tcW w:w="1231" w:type="pct"/>
            <w:vMerge/>
            <w:vAlign w:val="center"/>
          </w:tcPr>
          <w:p w:rsidR="0062652D" w:rsidRDefault="0062652D" w:rsidP="00984C4D">
            <w:pPr>
              <w:pStyle w:val="stBilgi"/>
              <w:jc w:val="center"/>
              <w:rPr>
                <w:rFonts w:ascii="Comic Sans MS" w:hAnsi="Comic Sans MS" w:cs="Tahoma"/>
                <w:b/>
              </w:rPr>
            </w:pPr>
          </w:p>
        </w:tc>
        <w:tc>
          <w:tcPr>
            <w:tcW w:w="2385" w:type="pct"/>
            <w:vMerge/>
            <w:vAlign w:val="center"/>
          </w:tcPr>
          <w:p w:rsidR="0062652D" w:rsidRPr="00B24C33" w:rsidRDefault="0062652D" w:rsidP="00984C4D">
            <w:pPr>
              <w:pStyle w:val="stBilgi"/>
              <w:jc w:val="center"/>
              <w:rPr>
                <w:rFonts w:ascii="Times New Roman" w:hAnsi="Times New Roman"/>
                <w:b/>
                <w:bCs/>
                <w:sz w:val="44"/>
                <w:szCs w:val="44"/>
              </w:rPr>
            </w:pPr>
          </w:p>
        </w:tc>
        <w:tc>
          <w:tcPr>
            <w:tcW w:w="769" w:type="pct"/>
            <w:tcBorders>
              <w:top w:val="dotted" w:sz="4" w:space="0" w:color="auto"/>
              <w:bottom w:val="double" w:sz="4" w:space="0" w:color="auto"/>
              <w:right w:val="single" w:sz="8"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sz w:val="16"/>
                <w:szCs w:val="16"/>
              </w:rPr>
              <w:t>Sayfa No</w:t>
            </w:r>
          </w:p>
        </w:tc>
        <w:tc>
          <w:tcPr>
            <w:tcW w:w="615" w:type="pct"/>
            <w:tcBorders>
              <w:top w:val="dotted" w:sz="4" w:space="0" w:color="auto"/>
              <w:left w:val="single" w:sz="8" w:space="0" w:color="auto"/>
              <w:bottom w:val="double" w:sz="4"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F87674">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w:t>
            </w:r>
            <w:r w:rsidR="007437D6">
              <w:rPr>
                <w:rFonts w:ascii="Times New Roman" w:hAnsi="Times New Roman"/>
                <w:b/>
                <w:bCs/>
                <w:sz w:val="16"/>
                <w:szCs w:val="16"/>
              </w:rPr>
              <w:t>2</w:t>
            </w:r>
          </w:p>
        </w:tc>
      </w:tr>
    </w:tbl>
    <w:p w:rsidR="00C464AE" w:rsidRPr="00C464AE" w:rsidRDefault="00C464AE" w:rsidP="00C464AE">
      <w:pPr>
        <w:spacing w:line="55" w:lineRule="exact"/>
        <w:rPr>
          <w:rFonts w:ascii="Times New Roman" w:eastAsiaTheme="minorEastAsia" w:hAnsi="Times New Roman"/>
          <w:sz w:val="20"/>
        </w:rPr>
      </w:pPr>
    </w:p>
    <w:p w:rsidR="00F332DE" w:rsidRDefault="00F332DE" w:rsidP="00C464AE">
      <w:pPr>
        <w:autoSpaceDE w:val="0"/>
        <w:autoSpaceDN w:val="0"/>
        <w:adjustRightInd w:val="0"/>
        <w:rPr>
          <w:rFonts w:ascii="Times New Roman" w:hAnsi="Times New Roman"/>
          <w:szCs w:val="24"/>
        </w:rPr>
      </w:pPr>
    </w:p>
    <w:p w:rsidR="00F332DE" w:rsidRDefault="00D6097B" w:rsidP="00BF2AF1">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Genel Hususlar</w:t>
      </w:r>
    </w:p>
    <w:p w:rsidR="00FD525D" w:rsidRPr="00BF2AF1" w:rsidRDefault="00FD525D" w:rsidP="00BF2AF1">
      <w:pPr>
        <w:spacing w:before="120" w:after="120" w:line="276" w:lineRule="auto"/>
        <w:ind w:left="425"/>
        <w:contextualSpacing/>
        <w:jc w:val="both"/>
        <w:rPr>
          <w:rFonts w:ascii="Times New Roman" w:eastAsia="Times New Roman" w:hAnsi="Times New Roman"/>
          <w:b/>
          <w:position w:val="-1"/>
          <w:szCs w:val="24"/>
          <w:lang w:eastAsia="en-US"/>
        </w:rPr>
      </w:pPr>
    </w:p>
    <w:p w:rsidR="00D6097B" w:rsidRPr="00D6097B" w:rsidRDefault="003D322A" w:rsidP="006F3DBB">
      <w:pPr>
        <w:numPr>
          <w:ilvl w:val="0"/>
          <w:numId w:val="26"/>
        </w:numPr>
        <w:spacing w:before="120" w:after="120" w:line="276" w:lineRule="auto"/>
        <w:ind w:left="425" w:hanging="425"/>
        <w:contextualSpacing/>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Gıda İşletmesi </w:t>
      </w:r>
      <w:r w:rsidR="00D6097B" w:rsidRPr="00D6097B">
        <w:rPr>
          <w:rFonts w:ascii="Times New Roman" w:eastAsia="Times New Roman" w:hAnsi="Times New Roman"/>
          <w:position w:val="-1"/>
          <w:szCs w:val="24"/>
          <w:lang w:eastAsia="en-US"/>
        </w:rPr>
        <w:t>yöneticileri, tesisin tamamında sosyal mesafe önlemlerini almakla yükümlüdür. Genel kullanım alanlarına ve oturum düzenine ilişkin sosyal mesafe planı hazırlanmalı, tesisin</w:t>
      </w:r>
      <w:r w:rsidR="006F3DBB">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kişi kapasitesi sosyal mesafe planına göre belirlenmeli, bu kapasiteye uygun sayıda kişi kabul edilmeli ve kapasite bilgisi tesisin girişinde görülebilir bir yere asılmalıdır.</w:t>
      </w:r>
    </w:p>
    <w:p w:rsidR="00D6097B" w:rsidRPr="00D6097B" w:rsidRDefault="00E56C2D"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w:t>
      </w:r>
      <w:r w:rsidR="003D322A">
        <w:rPr>
          <w:rFonts w:ascii="Times New Roman" w:eastAsia="Times New Roman" w:hAnsi="Times New Roman"/>
          <w:position w:val="-1"/>
          <w:szCs w:val="24"/>
          <w:lang w:eastAsia="en-US"/>
        </w:rPr>
        <w:t>antin</w:t>
      </w:r>
      <w:r w:rsidR="00D6097B" w:rsidRPr="00D6097B">
        <w:rPr>
          <w:rFonts w:ascii="Times New Roman" w:eastAsia="Times New Roman" w:hAnsi="Times New Roman"/>
          <w:position w:val="-1"/>
          <w:szCs w:val="24"/>
          <w:lang w:eastAsia="en-US"/>
        </w:rPr>
        <w:t xml:space="preserve"> giriş holünde veya dış cephesinde ve öğrenci ve öğretmenlerin kolayca görebileceği genel kullanım alanlarında, tesiste uygulanan ve uyulması gereken bulaşıcı hastalık tedbirleri ve kurallarının yer aldığı panolar düzenlenmelidir.</w:t>
      </w:r>
    </w:p>
    <w:p w:rsidR="00D6097B" w:rsidRPr="00D6097B" w:rsidRDefault="00D6097B"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Bulaşıcı hastalık tedbirlerine yönelik mutfak ve tesisin temizliği “</w:t>
      </w:r>
      <w:r w:rsidR="003D322A">
        <w:rPr>
          <w:rFonts w:ascii="Times New Roman" w:eastAsia="Times New Roman" w:hAnsi="Times New Roman"/>
          <w:position w:val="-1"/>
          <w:szCs w:val="24"/>
          <w:lang w:eastAsia="en-US"/>
        </w:rPr>
        <w:t>Kantin</w:t>
      </w:r>
      <w:r w:rsidRPr="00D6097B">
        <w:rPr>
          <w:rFonts w:ascii="Times New Roman" w:eastAsia="Times New Roman" w:hAnsi="Times New Roman"/>
          <w:position w:val="-1"/>
          <w:szCs w:val="24"/>
          <w:lang w:eastAsia="en-US"/>
        </w:rPr>
        <w:t xml:space="preserve"> Temizlik Talimatına” uygun olarak düzenli olarak yapılmalı, gıda güvenliği ile haşere ve zararlılarla mücadele sağlanmalıdır.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Misafir Kabulü</w:t>
      </w:r>
    </w:p>
    <w:p w:rsidR="00D6097B" w:rsidRPr="00D6097B" w:rsidRDefault="003F7E49"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w:t>
      </w:r>
      <w:r w:rsidR="003D322A" w:rsidRPr="003D322A">
        <w:rPr>
          <w:rFonts w:ascii="Times New Roman" w:eastAsia="Times New Roman" w:hAnsi="Times New Roman"/>
          <w:position w:val="-1"/>
          <w:szCs w:val="24"/>
          <w:lang w:eastAsia="en-US"/>
        </w:rPr>
        <w:t xml:space="preserve">antin </w:t>
      </w:r>
      <w:r w:rsidR="00D6097B" w:rsidRPr="00D6097B">
        <w:rPr>
          <w:rFonts w:ascii="Times New Roman" w:eastAsia="Times New Roman" w:hAnsi="Times New Roman"/>
          <w:position w:val="-1"/>
          <w:szCs w:val="24"/>
          <w:lang w:eastAsia="en-US"/>
        </w:rPr>
        <w:t>girişinde misafirlere termal kamera veya temassız ateş ölçüm cihazı ile anlık ateş ölçümü uygulamalıdır. 38</w:t>
      </w:r>
      <w:r w:rsidR="00D6097B" w:rsidRPr="00D6097B">
        <w:rPr>
          <w:rFonts w:ascii="Times New Roman" w:eastAsia="Times New Roman" w:hAnsi="Times New Roman"/>
          <w:position w:val="-1"/>
          <w:szCs w:val="24"/>
          <w:vertAlign w:val="superscript"/>
          <w:lang w:eastAsia="en-US"/>
        </w:rPr>
        <w:t>0</w:t>
      </w:r>
      <w:r w:rsidR="00D6097B" w:rsidRPr="00D6097B">
        <w:rPr>
          <w:rFonts w:ascii="Times New Roman" w:eastAsia="Times New Roman" w:hAnsi="Times New Roman"/>
          <w:position w:val="-1"/>
          <w:szCs w:val="24"/>
          <w:lang w:eastAsia="en-US"/>
        </w:rPr>
        <w:t>C’den yüksek ateş ölçümlerinde, misafir</w:t>
      </w:r>
      <w:r w:rsidR="00E56C2D">
        <w:rPr>
          <w:rFonts w:ascii="Times New Roman" w:eastAsia="Times New Roman" w:hAnsi="Times New Roman"/>
          <w:position w:val="-1"/>
          <w:szCs w:val="24"/>
          <w:lang w:eastAsia="en-US"/>
        </w:rPr>
        <w:t xml:space="preserve"> </w:t>
      </w:r>
      <w:r w:rsidR="003D322A" w:rsidRPr="003D322A">
        <w:rPr>
          <w:rFonts w:ascii="Times New Roman" w:eastAsia="Times New Roman" w:hAnsi="Times New Roman"/>
          <w:position w:val="-1"/>
          <w:szCs w:val="24"/>
          <w:lang w:eastAsia="en-US"/>
        </w:rPr>
        <w:t>ve kantin</w:t>
      </w:r>
      <w:r w:rsidR="003D322A">
        <w:rPr>
          <w:rFonts w:ascii="Times New Roman" w:eastAsia="Times New Roman" w:hAnsi="Times New Roman"/>
          <w:position w:val="-1"/>
          <w:szCs w:val="24"/>
          <w:lang w:eastAsia="en-US"/>
        </w:rPr>
        <w:t>e</w:t>
      </w:r>
      <w:r w:rsidR="003D322A" w:rsidRPr="003D322A">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alınmayarak, tıbbi maske ile sağlık kuruluşuna başvurması sağlanmalıdır.</w:t>
      </w:r>
    </w:p>
    <w:p w:rsidR="00D6097B" w:rsidRPr="00D6097B" w:rsidRDefault="00E56C2D"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G</w:t>
      </w:r>
      <w:r w:rsidR="00D6097B" w:rsidRPr="00D6097B">
        <w:rPr>
          <w:rFonts w:ascii="Times New Roman" w:eastAsia="Times New Roman" w:hAnsi="Times New Roman"/>
          <w:position w:val="-1"/>
          <w:szCs w:val="24"/>
          <w:lang w:eastAsia="en-US"/>
        </w:rPr>
        <w:t xml:space="preserve">irişlerinde el antiseptiği </w:t>
      </w:r>
      <w:proofErr w:type="spellStart"/>
      <w:proofErr w:type="gramStart"/>
      <w:r w:rsidR="00D6097B" w:rsidRPr="00D6097B">
        <w:rPr>
          <w:rFonts w:ascii="Times New Roman" w:eastAsia="Times New Roman" w:hAnsi="Times New Roman"/>
          <w:position w:val="-1"/>
          <w:szCs w:val="24"/>
          <w:lang w:eastAsia="en-US"/>
        </w:rPr>
        <w:t>bulundurulmalı,misafirlerin</w:t>
      </w:r>
      <w:proofErr w:type="spellEnd"/>
      <w:proofErr w:type="gramEnd"/>
      <w:r w:rsidR="00D6097B" w:rsidRPr="00D6097B">
        <w:rPr>
          <w:rFonts w:ascii="Times New Roman" w:eastAsia="Times New Roman" w:hAnsi="Times New Roman"/>
          <w:position w:val="-1"/>
          <w:szCs w:val="24"/>
          <w:lang w:eastAsia="en-US"/>
        </w:rPr>
        <w:t xml:space="preserve"> el antiseptiği veya sabunla kurallara uygun el temizliği yapıldıktan sonra girişleri sağlanmalıdır.</w:t>
      </w:r>
    </w:p>
    <w:p w:rsidR="003F7E49" w:rsidRDefault="00E56C2D"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w:t>
      </w:r>
      <w:r w:rsidR="003D322A" w:rsidRPr="003D322A">
        <w:rPr>
          <w:rFonts w:ascii="Times New Roman" w:eastAsia="Times New Roman" w:hAnsi="Times New Roman"/>
          <w:position w:val="-1"/>
          <w:szCs w:val="24"/>
          <w:lang w:eastAsia="en-US"/>
        </w:rPr>
        <w:t>antin</w:t>
      </w:r>
      <w:r w:rsidR="003D322A">
        <w:rPr>
          <w:rFonts w:ascii="Times New Roman" w:eastAsia="Times New Roman" w:hAnsi="Times New Roman"/>
          <w:position w:val="-1"/>
          <w:szCs w:val="24"/>
          <w:lang w:eastAsia="en-US"/>
        </w:rPr>
        <w:t xml:space="preserve">e </w:t>
      </w:r>
      <w:r w:rsidR="00D6097B" w:rsidRPr="00D6097B">
        <w:rPr>
          <w:rFonts w:ascii="Times New Roman" w:eastAsia="Times New Roman" w:hAnsi="Times New Roman"/>
          <w:position w:val="-1"/>
          <w:szCs w:val="24"/>
          <w:lang w:eastAsia="en-US"/>
        </w:rPr>
        <w:t xml:space="preserve">alınan misafirlerin maske takma zorunluluğuna uymaları, misafirlerin yeme-içme faaliyeti dışında ve masadan her kalktıklarında maske takmaları sağlamalıdır. </w:t>
      </w:r>
    </w:p>
    <w:p w:rsidR="00D00414" w:rsidRPr="00BF2AF1" w:rsidRDefault="00D00414" w:rsidP="00D00414">
      <w:pPr>
        <w:spacing w:before="120" w:after="120" w:line="276" w:lineRule="auto"/>
        <w:ind w:left="425"/>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Personel</w:t>
      </w:r>
    </w:p>
    <w:p w:rsidR="00D6097B" w:rsidRPr="00D6097B" w:rsidRDefault="00E56C2D"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Kantin </w:t>
      </w:r>
      <w:r w:rsidR="00D6097B" w:rsidRPr="00D6097B">
        <w:rPr>
          <w:rFonts w:ascii="Times New Roman" w:eastAsia="Times New Roman" w:hAnsi="Times New Roman"/>
          <w:position w:val="-1"/>
          <w:szCs w:val="24"/>
          <w:lang w:eastAsia="en-US"/>
        </w:rPr>
        <w:t>personelinin düzenli sağlık kontrolü yapılmalı, birlikte yaşadığı kişilerin bulaşıcı hastalıklar açısından izlenebilmesi için personelden periyodik bilgi alınmalıdır.</w:t>
      </w:r>
    </w:p>
    <w:p w:rsidR="00D6097B" w:rsidRPr="00D6097B" w:rsidRDefault="00E56C2D"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Kantin </w:t>
      </w:r>
      <w:r w:rsidR="00D6097B" w:rsidRPr="00D6097B">
        <w:rPr>
          <w:rFonts w:ascii="Times New Roman" w:eastAsia="Times New Roman" w:hAnsi="Times New Roman"/>
          <w:position w:val="-1"/>
          <w:szCs w:val="24"/>
          <w:lang w:eastAsia="en-US"/>
        </w:rPr>
        <w:t>personeline bulaşıcı hastalıklar, salgınlar ve hijyen konusunda bilgi/eğitim verilmesi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 girişinde termal kamera veya temassız ateş ölçümü yapılmalı ve el antiseptiği bulundurulmalıdır.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Personele çalışma yeri, misafirler ve ortam ile temasına uygun kişisel koruyucu ekipman </w:t>
      </w:r>
      <w:r w:rsidRPr="00D6097B">
        <w:rPr>
          <w:rFonts w:ascii="Times New Roman" w:eastAsia="Times New Roman" w:hAnsi="Times New Roman"/>
          <w:i/>
          <w:position w:val="-1"/>
          <w:szCs w:val="24"/>
          <w:lang w:eastAsia="en-US"/>
        </w:rPr>
        <w:t>(tıbbi maske, yüz koruyucu vb.)</w:t>
      </w:r>
      <w:r w:rsidRPr="00D6097B">
        <w:rPr>
          <w:rFonts w:ascii="Times New Roman" w:eastAsia="Times New Roman" w:hAnsi="Times New Roman"/>
          <w:position w:val="-1"/>
          <w:szCs w:val="24"/>
          <w:lang w:eastAsia="en-US"/>
        </w:rPr>
        <w:t xml:space="preserve"> ile el antiseptiği sağlanmalı ve kullanımı izlenmelidir. </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Personelin işe özgü kıyafet giymesi, kıyafetlerinin günlük temizliği ve hijyeni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Aynı vardiyada mümkün olduğunca aynı personelin çalıştırılmasına özen gösterilmelidir.</w:t>
      </w:r>
    </w:p>
    <w:p w:rsidR="00D6097B" w:rsidRPr="00BF2AF1" w:rsidRDefault="00D6097B" w:rsidP="00BF2AF1">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Personelde hastalık belirtileri tespiti halinde tıbbi maske takılarak en yakın sağlık kuruluşuna başvurması sağlanmalıdır.</w:t>
      </w:r>
    </w:p>
    <w:p w:rsidR="00BF2AF1" w:rsidRPr="00D6097B" w:rsidRDefault="00BF2AF1" w:rsidP="00BF2AF1">
      <w:pPr>
        <w:spacing w:before="120" w:after="120" w:line="276" w:lineRule="auto"/>
        <w:ind w:left="425"/>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lastRenderedPageBreak/>
        <w:t>Genel Temizlik ve Bakım</w:t>
      </w:r>
    </w:p>
    <w:p w:rsidR="00D6097B" w:rsidRPr="00D6097B" w:rsidRDefault="00E56C2D"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Kantin</w:t>
      </w:r>
      <w:r w:rsidR="00D6097B" w:rsidRPr="00D6097B">
        <w:rPr>
          <w:rFonts w:ascii="Times New Roman" w:eastAsia="Times New Roman" w:hAnsi="Times New Roman"/>
          <w:position w:val="-1"/>
          <w:szCs w:val="24"/>
          <w:lang w:eastAsia="en-US"/>
        </w:rPr>
        <w:t xml:space="preserve"> temizliği, yüzeyin niteliğine göre standartlara uygun ürün kullanılarak, uygun sıklıkta yapılmalı, bu uygulamaların izlenebilirlik kayıtları tutulmalıdır.</w:t>
      </w:r>
    </w:p>
    <w:p w:rsidR="00D6097B" w:rsidRPr="00D6097B" w:rsidRDefault="00E56C2D"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Kantinin</w:t>
      </w:r>
      <w:r w:rsidR="00D6097B" w:rsidRPr="00D6097B">
        <w:rPr>
          <w:rFonts w:ascii="Times New Roman" w:eastAsia="Times New Roman" w:hAnsi="Times New Roman"/>
          <w:position w:val="-1"/>
          <w:szCs w:val="24"/>
          <w:lang w:eastAsia="en-US"/>
        </w:rPr>
        <w:t xml:space="preserve"> tamamında; kapı kolları, tırabzanlar, elektrik düğmeleri,</w:t>
      </w:r>
      <w:bookmarkStart w:id="0" w:name="_GoBack"/>
      <w:bookmarkEnd w:id="0"/>
      <w:r w:rsidR="00D6097B" w:rsidRPr="00D6097B">
        <w:rPr>
          <w:rFonts w:ascii="Times New Roman" w:eastAsia="Times New Roman" w:hAnsi="Times New Roman"/>
          <w:position w:val="-1"/>
          <w:szCs w:val="24"/>
          <w:lang w:eastAsia="en-US"/>
        </w:rPr>
        <w:t xml:space="preserve"> televizyon kumandası, telefon, bilgisayar klavyesi, menü, masa üstleri, vb. el temasının yoğun olduğu yüzeyler sık sık su ve deterjanla temizlenmeli, 1/100 sulandırılmış </w:t>
      </w:r>
      <w:proofErr w:type="spellStart"/>
      <w:r w:rsidR="00D6097B" w:rsidRPr="00D6097B">
        <w:rPr>
          <w:rFonts w:ascii="Times New Roman" w:eastAsia="Times New Roman" w:hAnsi="Times New Roman"/>
          <w:position w:val="-1"/>
          <w:szCs w:val="24"/>
          <w:lang w:eastAsia="en-US"/>
        </w:rPr>
        <w:t>hipoklorit</w:t>
      </w:r>
      <w:proofErr w:type="spellEnd"/>
      <w:r w:rsidR="00D6097B" w:rsidRPr="00D6097B">
        <w:rPr>
          <w:rFonts w:ascii="Times New Roman" w:eastAsia="Times New Roman" w:hAnsi="Times New Roman"/>
          <w:position w:val="-1"/>
          <w:szCs w:val="24"/>
          <w:lang w:eastAsia="en-US"/>
        </w:rPr>
        <w:t xml:space="preserve"> esaslı yer yüzey dezenfektan uygulaması ile dezenfeksiyonu sağlanmalı, klor bileşiklerinin zarar verdiği telefon, bilgisayar klavyesi gibi yüzeylerde ise %70’lik alkol bazlı ürünler kullanılarak, izlenebilirlik kayıtları tutulmalıdır.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Havalandırma ve klima sisteminin, gibi araç, gereç, malzeme ve donanımın periyodik bakımları ve gerekli olanların sterilizasyonu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kullanımı konusunda T.C. Sağlık Bakanlığının yayınladığı/ yayınlayacağı “Toplumda Klimaların Kullanımı” rehberine uyulmalıdır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genel havalandırma sistemleri yukarıda belirtilen hususlara uygunluğu sağlanmadığında kullanılmamalıdır.</w:t>
      </w:r>
    </w:p>
    <w:p w:rsidR="00D6097B" w:rsidRPr="00D6097B" w:rsidRDefault="00E56C2D"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Kantindeki</w:t>
      </w:r>
      <w:r w:rsidR="00D6097B" w:rsidRPr="00D6097B">
        <w:rPr>
          <w:rFonts w:ascii="Times New Roman" w:eastAsia="Times New Roman" w:hAnsi="Times New Roman"/>
          <w:position w:val="-1"/>
          <w:szCs w:val="24"/>
          <w:lang w:eastAsia="en-US"/>
        </w:rPr>
        <w:t xml:space="preserve"> kapalı mahallerin tamamının sıklıkla kapı ve pencereleri açılarak doğal havalandırması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Çalışma ortamında yeterli sayıda elle temas edilmesine gerek duyulmayan çöp kutularının bulundurulması sağlanmalıdır.</w:t>
      </w:r>
    </w:p>
    <w:p w:rsidR="00D6097B" w:rsidRPr="00D6097B" w:rsidRDefault="00E56C2D"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Kantin </w:t>
      </w:r>
      <w:r w:rsidR="00D6097B" w:rsidRPr="00D6097B">
        <w:rPr>
          <w:rFonts w:ascii="Times New Roman" w:eastAsia="Times New Roman" w:hAnsi="Times New Roman"/>
          <w:position w:val="-1"/>
          <w:szCs w:val="24"/>
          <w:lang w:eastAsia="en-US"/>
        </w:rPr>
        <w:t>de çöp kovalarının temizlik ve boşaltma işlemleri sık sık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Temizlik ve atıkların boşaltılmasından sorumlu personelin kişisel hijyenlerine ve uygun kişisel koruyucu ekipman kullanımlarına özen göstermesi sağlanmalıdır.</w:t>
      </w:r>
    </w:p>
    <w:p w:rsidR="00352EEB" w:rsidRPr="004D7AFC" w:rsidRDefault="00352EEB" w:rsidP="00D6097B">
      <w:pPr>
        <w:widowControl w:val="0"/>
        <w:tabs>
          <w:tab w:val="left" w:pos="284"/>
        </w:tabs>
        <w:autoSpaceDE w:val="0"/>
        <w:autoSpaceDN w:val="0"/>
        <w:spacing w:before="111"/>
        <w:jc w:val="center"/>
        <w:outlineLvl w:val="2"/>
        <w:rPr>
          <w:rFonts w:ascii="Times New Roman" w:eastAsia="Times New Roman" w:hAnsi="Times New Roman"/>
        </w:rPr>
      </w:pPr>
    </w:p>
    <w:sectPr w:rsidR="00352EEB" w:rsidRPr="004D7AFC" w:rsidSect="00BF2AF1">
      <w:footerReference w:type="default" r:id="rId8"/>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DA4" w:rsidRDefault="00D75DA4">
      <w:r>
        <w:separator/>
      </w:r>
    </w:p>
  </w:endnote>
  <w:endnote w:type="continuationSeparator" w:id="0">
    <w:p w:rsidR="00D75DA4" w:rsidRDefault="00D7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5F" w:rsidRDefault="00D75DA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DA4" w:rsidRDefault="00D75DA4">
      <w:r>
        <w:separator/>
      </w:r>
    </w:p>
  </w:footnote>
  <w:footnote w:type="continuationSeparator" w:id="0">
    <w:p w:rsidR="00D75DA4" w:rsidRDefault="00D7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15:restartNumberingAfterBreak="0">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15:restartNumberingAfterBreak="0">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15:restartNumberingAfterBreak="0">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15:restartNumberingAfterBreak="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7" w15:restartNumberingAfterBreak="0">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15:restartNumberingAfterBreak="0">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9" w15:restartNumberingAfterBreak="0">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2"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7"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0"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5"/>
  </w:num>
  <w:num w:numId="2">
    <w:abstractNumId w:val="26"/>
  </w:num>
  <w:num w:numId="3">
    <w:abstractNumId w:val="18"/>
  </w:num>
  <w:num w:numId="4">
    <w:abstractNumId w:val="12"/>
  </w:num>
  <w:num w:numId="5">
    <w:abstractNumId w:val="4"/>
  </w:num>
  <w:num w:numId="6">
    <w:abstractNumId w:val="11"/>
  </w:num>
  <w:num w:numId="7">
    <w:abstractNumId w:val="3"/>
  </w:num>
  <w:num w:numId="8">
    <w:abstractNumId w:val="1"/>
  </w:num>
  <w:num w:numId="9">
    <w:abstractNumId w:val="29"/>
  </w:num>
  <w:num w:numId="10">
    <w:abstractNumId w:val="0"/>
  </w:num>
  <w:num w:numId="11">
    <w:abstractNumId w:val="7"/>
  </w:num>
  <w:num w:numId="12">
    <w:abstractNumId w:val="27"/>
  </w:num>
  <w:num w:numId="13">
    <w:abstractNumId w:val="2"/>
  </w:num>
  <w:num w:numId="14">
    <w:abstractNumId w:val="21"/>
  </w:num>
  <w:num w:numId="15">
    <w:abstractNumId w:val="13"/>
  </w:num>
  <w:num w:numId="16">
    <w:abstractNumId w:val="15"/>
  </w:num>
  <w:num w:numId="17">
    <w:abstractNumId w:val="20"/>
  </w:num>
  <w:num w:numId="18">
    <w:abstractNumId w:val="31"/>
  </w:num>
  <w:num w:numId="19">
    <w:abstractNumId w:val="6"/>
  </w:num>
  <w:num w:numId="20">
    <w:abstractNumId w:val="8"/>
  </w:num>
  <w:num w:numId="21">
    <w:abstractNumId w:val="16"/>
  </w:num>
  <w:num w:numId="22">
    <w:abstractNumId w:val="10"/>
  </w:num>
  <w:num w:numId="23">
    <w:abstractNumId w:val="9"/>
  </w:num>
  <w:num w:numId="24">
    <w:abstractNumId w:val="23"/>
  </w:num>
  <w:num w:numId="25">
    <w:abstractNumId w:val="19"/>
  </w:num>
  <w:num w:numId="26">
    <w:abstractNumId w:val="17"/>
  </w:num>
  <w:num w:numId="27">
    <w:abstractNumId w:val="30"/>
  </w:num>
  <w:num w:numId="28">
    <w:abstractNumId w:val="5"/>
  </w:num>
  <w:num w:numId="29">
    <w:abstractNumId w:val="28"/>
  </w:num>
  <w:num w:numId="30">
    <w:abstractNumId w:val="14"/>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52D"/>
    <w:rsid w:val="000A6B83"/>
    <w:rsid w:val="00195878"/>
    <w:rsid w:val="002073F9"/>
    <w:rsid w:val="00274F39"/>
    <w:rsid w:val="002F2703"/>
    <w:rsid w:val="00352EEB"/>
    <w:rsid w:val="00360BD1"/>
    <w:rsid w:val="003D322A"/>
    <w:rsid w:val="003E6E2C"/>
    <w:rsid w:val="003F7E49"/>
    <w:rsid w:val="004D7AFC"/>
    <w:rsid w:val="00526872"/>
    <w:rsid w:val="005F393F"/>
    <w:rsid w:val="0062652D"/>
    <w:rsid w:val="006A48E9"/>
    <w:rsid w:val="006F3DBB"/>
    <w:rsid w:val="007437D6"/>
    <w:rsid w:val="007522E6"/>
    <w:rsid w:val="007E1424"/>
    <w:rsid w:val="00812EC5"/>
    <w:rsid w:val="00A51A6D"/>
    <w:rsid w:val="00B42E5A"/>
    <w:rsid w:val="00B66970"/>
    <w:rsid w:val="00BA36F4"/>
    <w:rsid w:val="00BE503B"/>
    <w:rsid w:val="00BF2AF1"/>
    <w:rsid w:val="00C464AE"/>
    <w:rsid w:val="00D00414"/>
    <w:rsid w:val="00D446E2"/>
    <w:rsid w:val="00D6097B"/>
    <w:rsid w:val="00D75DA4"/>
    <w:rsid w:val="00E50111"/>
    <w:rsid w:val="00E56C2D"/>
    <w:rsid w:val="00EB451B"/>
    <w:rsid w:val="00F0739D"/>
    <w:rsid w:val="00F332DE"/>
    <w:rsid w:val="00F87674"/>
    <w:rsid w:val="00FC1A89"/>
    <w:rsid w:val="00FD343C"/>
    <w:rsid w:val="00FD5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1477"/>
  <w15:docId w15:val="{9C3BFE6B-6FA9-4F9A-8F37-BEB125D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 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689</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mehmetacar</cp:lastModifiedBy>
  <cp:revision>16</cp:revision>
  <cp:lastPrinted>2020-10-09T09:32:00Z</cp:lastPrinted>
  <dcterms:created xsi:type="dcterms:W3CDTF">2020-08-06T20:48:00Z</dcterms:created>
  <dcterms:modified xsi:type="dcterms:W3CDTF">2020-10-09T09:32:00Z</dcterms:modified>
</cp:coreProperties>
</file>